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85"/>
        <w:gridCol w:w="4214"/>
      </w:tblGrid>
      <w:tr w:rsidR="009805F0" w:rsidTr="007D79D8">
        <w:trPr>
          <w:trHeight w:val="915"/>
        </w:trPr>
        <w:tc>
          <w:tcPr>
            <w:tcW w:w="5644" w:type="dxa"/>
            <w:vAlign w:val="center"/>
          </w:tcPr>
          <w:p w:rsidR="00AD2065" w:rsidRDefault="00AD2065" w:rsidP="00B42947">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F175B2">
              <w:rPr>
                <w:rFonts w:asciiTheme="majorHAnsi" w:eastAsiaTheme="majorEastAsia" w:hAnsiTheme="majorHAnsi" w:cstheme="majorBidi"/>
                <w:sz w:val="36"/>
                <w:szCs w:val="36"/>
              </w:rPr>
              <w:t>EKİM-</w:t>
            </w:r>
            <w:r w:rsidR="00B42947">
              <w:rPr>
                <w:rFonts w:asciiTheme="majorHAnsi" w:eastAsiaTheme="majorEastAsia" w:hAnsiTheme="majorHAnsi" w:cstheme="majorBidi"/>
                <w:sz w:val="36"/>
                <w:szCs w:val="36"/>
              </w:rPr>
              <w:t>ARALIK</w:t>
            </w:r>
            <w:r w:rsidR="00F175B2">
              <w:rPr>
                <w:rFonts w:asciiTheme="majorHAnsi" w:eastAsiaTheme="majorEastAsia" w:hAnsiTheme="majorHAnsi" w:cstheme="majorBidi"/>
                <w:sz w:val="36"/>
                <w:szCs w:val="36"/>
              </w:rPr>
              <w:t xml:space="preserve"> DÖ</w:t>
            </w:r>
            <w:bookmarkStart w:id="0" w:name="_GoBack"/>
            <w:bookmarkEnd w:id="0"/>
            <w:r w:rsidR="00F175B2">
              <w:rPr>
                <w:rFonts w:asciiTheme="majorHAnsi" w:eastAsiaTheme="majorEastAsia" w:hAnsiTheme="majorHAnsi" w:cstheme="majorBidi"/>
                <w:sz w:val="36"/>
                <w:szCs w:val="36"/>
              </w:rPr>
              <w:t>NEMİ</w:t>
            </w:r>
            <w:r>
              <w:rPr>
                <w:rFonts w:asciiTheme="majorHAnsi" w:eastAsiaTheme="majorEastAsia" w:hAnsiTheme="majorHAnsi" w:cstheme="majorBidi"/>
                <w:sz w:val="36"/>
                <w:szCs w:val="36"/>
              </w:rPr>
              <w:t xml:space="preserve"> </w:t>
            </w:r>
            <w:r w:rsidR="00B42947">
              <w:rPr>
                <w:rFonts w:asciiTheme="majorHAnsi" w:eastAsiaTheme="majorEastAsia" w:hAnsiTheme="majorHAnsi" w:cstheme="majorBidi"/>
                <w:sz w:val="36"/>
                <w:szCs w:val="36"/>
              </w:rPr>
              <w:t>BANKA KREDİLERİ EĞİLİM ANKETİ</w:t>
            </w:r>
          </w:p>
        </w:tc>
        <w:tc>
          <w:tcPr>
            <w:tcW w:w="4678" w:type="dxa"/>
          </w:tcPr>
          <w:p w:rsidR="00AD2065" w:rsidRDefault="00B42947" w:rsidP="00B42947">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09 Ocak</w:t>
            </w:r>
            <w:r w:rsidR="00AD2065">
              <w:rPr>
                <w:rFonts w:asciiTheme="majorHAnsi" w:eastAsiaTheme="majorEastAsia" w:hAnsiTheme="majorHAnsi" w:cstheme="majorBidi"/>
                <w:bCs/>
                <w:sz w:val="28"/>
                <w:szCs w:val="36"/>
              </w:rPr>
              <w:t xml:space="preserve"> 201</w:t>
            </w:r>
            <w:r>
              <w:rPr>
                <w:rFonts w:asciiTheme="majorHAnsi" w:eastAsiaTheme="majorEastAsia" w:hAnsiTheme="majorHAnsi" w:cstheme="majorBidi"/>
                <w:bCs/>
                <w:sz w:val="28"/>
                <w:szCs w:val="36"/>
              </w:rPr>
              <w:t xml:space="preserve">5 </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GB" w:eastAsia="en-GB"/>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2338B9" w:rsidRDefault="00200562" w:rsidP="00635369">
      <w:pPr>
        <w:jc w:val="both"/>
        <w:rPr>
          <w:rFonts w:ascii="Times New Roman" w:hAnsi="Times New Roman" w:cs="Times New Roman"/>
          <w:b/>
          <w:sz w:val="24"/>
          <w:szCs w:val="24"/>
        </w:rPr>
      </w:pPr>
      <w:r>
        <w:rPr>
          <w:rFonts w:ascii="Times New Roman" w:hAnsi="Times New Roman" w:cs="Times New Roman"/>
          <w:b/>
          <w:sz w:val="24"/>
          <w:szCs w:val="24"/>
        </w:rPr>
        <w:t>Banka Kredileri Eğilim A</w:t>
      </w:r>
      <w:r w:rsidR="00B42947" w:rsidRPr="002338B9">
        <w:rPr>
          <w:rFonts w:ascii="Times New Roman" w:hAnsi="Times New Roman" w:cs="Times New Roman"/>
          <w:b/>
          <w:sz w:val="24"/>
          <w:szCs w:val="24"/>
        </w:rPr>
        <w:t>nketi</w:t>
      </w:r>
      <w:r>
        <w:rPr>
          <w:rFonts w:ascii="Times New Roman" w:hAnsi="Times New Roman" w:cs="Times New Roman"/>
          <w:b/>
          <w:sz w:val="24"/>
          <w:szCs w:val="24"/>
        </w:rPr>
        <w:t>’</w:t>
      </w:r>
      <w:r w:rsidR="00B42947" w:rsidRPr="002338B9">
        <w:rPr>
          <w:rFonts w:ascii="Times New Roman" w:hAnsi="Times New Roman" w:cs="Times New Roman"/>
          <w:b/>
          <w:sz w:val="24"/>
          <w:szCs w:val="24"/>
        </w:rPr>
        <w:t>nin 2014 yılı dördüncü çeyrek verileri</w:t>
      </w:r>
      <w:r w:rsidR="00EB586D" w:rsidRPr="002338B9">
        <w:rPr>
          <w:rFonts w:ascii="Times New Roman" w:hAnsi="Times New Roman" w:cs="Times New Roman"/>
          <w:b/>
          <w:sz w:val="24"/>
          <w:szCs w:val="24"/>
        </w:rPr>
        <w:t>,</w:t>
      </w:r>
      <w:r w:rsidR="009805F0" w:rsidRPr="002338B9">
        <w:rPr>
          <w:rFonts w:ascii="Times New Roman" w:hAnsi="Times New Roman" w:cs="Times New Roman"/>
          <w:b/>
          <w:sz w:val="24"/>
          <w:szCs w:val="24"/>
        </w:rPr>
        <w:t xml:space="preserve"> </w:t>
      </w:r>
      <w:r w:rsidR="00EF4E45" w:rsidRPr="002338B9">
        <w:rPr>
          <w:rFonts w:ascii="Times New Roman" w:hAnsi="Times New Roman" w:cs="Times New Roman"/>
          <w:b/>
          <w:sz w:val="24"/>
          <w:szCs w:val="24"/>
        </w:rPr>
        <w:t xml:space="preserve">Türkiye </w:t>
      </w:r>
      <w:r w:rsidR="009805F0" w:rsidRPr="002338B9">
        <w:rPr>
          <w:rFonts w:ascii="Times New Roman" w:hAnsi="Times New Roman" w:cs="Times New Roman"/>
          <w:b/>
          <w:sz w:val="24"/>
          <w:szCs w:val="24"/>
        </w:rPr>
        <w:t xml:space="preserve">Cumhuriyet Merkez Bankası (TCMB) tarafından </w:t>
      </w:r>
      <w:r w:rsidR="00B42947" w:rsidRPr="002338B9">
        <w:rPr>
          <w:rFonts w:ascii="Times New Roman" w:hAnsi="Times New Roman" w:cs="Times New Roman"/>
          <w:b/>
          <w:sz w:val="24"/>
          <w:szCs w:val="24"/>
        </w:rPr>
        <w:t>09 Ocak 2015</w:t>
      </w:r>
      <w:r w:rsidR="00EF4E45" w:rsidRPr="002338B9">
        <w:rPr>
          <w:rFonts w:ascii="Times New Roman" w:hAnsi="Times New Roman" w:cs="Times New Roman"/>
          <w:b/>
          <w:sz w:val="24"/>
          <w:szCs w:val="24"/>
        </w:rPr>
        <w:t xml:space="preserve"> tarihinde yayımlandı.</w:t>
      </w:r>
    </w:p>
    <w:p w:rsidR="00B42947" w:rsidRDefault="00B42947"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Banka Kredileri Eğilim Anketi, ekonomik büyümenin finansmanında önemli bir görev üstlenen banka kredilerindeki eğilimlerin izlenmesi amacıyla üçer aylık </w:t>
      </w:r>
      <w:proofErr w:type="gramStart"/>
      <w:r w:rsidRPr="002338B9">
        <w:rPr>
          <w:rFonts w:ascii="Times New Roman" w:hAnsi="Times New Roman" w:cs="Times New Roman"/>
          <w:sz w:val="24"/>
          <w:szCs w:val="24"/>
        </w:rPr>
        <w:t>periyotlarla</w:t>
      </w:r>
      <w:proofErr w:type="gramEnd"/>
      <w:r w:rsidRPr="002338B9">
        <w:rPr>
          <w:rFonts w:ascii="Times New Roman" w:hAnsi="Times New Roman" w:cs="Times New Roman"/>
          <w:sz w:val="24"/>
          <w:szCs w:val="24"/>
        </w:rPr>
        <w:t xml:space="preserve"> hazırlanmaktadır. Bu anket ile kredi arzını etkileyen koşullarda gerçekleşmiş ve gerçekleşmesi beklenen değişimler, bu değişimlerde rolü olduğu düşünülen faktörler ve kredi talebinin izlenmesi hedeflenmektedir.</w:t>
      </w:r>
    </w:p>
    <w:p w:rsidR="002338B9" w:rsidRPr="002338B9" w:rsidRDefault="002338B9" w:rsidP="00635369">
      <w:pPr>
        <w:jc w:val="both"/>
        <w:rPr>
          <w:rFonts w:ascii="Times New Roman" w:hAnsi="Times New Roman" w:cs="Times New Roman"/>
          <w:sz w:val="24"/>
          <w:szCs w:val="24"/>
        </w:rPr>
      </w:pPr>
      <w:r>
        <w:rPr>
          <w:rFonts w:ascii="Times New Roman" w:hAnsi="Times New Roman" w:cs="Times New Roman"/>
          <w:sz w:val="24"/>
          <w:szCs w:val="24"/>
        </w:rPr>
        <w:t>Sektör toplam kredilerinin yaklaşık yüzde 80’ini sağlayan ve toplam içinde en yüksek paya sahip ilk 15 bankaya gönderilerek uygulanan ankette yer alan bankaların biri kamu, dokuzu özel, beşi ise yab</w:t>
      </w:r>
      <w:r w:rsidR="00CA0A21">
        <w:rPr>
          <w:rFonts w:ascii="Times New Roman" w:hAnsi="Times New Roman" w:cs="Times New Roman"/>
          <w:sz w:val="24"/>
          <w:szCs w:val="24"/>
        </w:rPr>
        <w:t>ancı sermayeli bankadır. Ankette,</w:t>
      </w:r>
      <w:r>
        <w:rPr>
          <w:rFonts w:ascii="Times New Roman" w:hAnsi="Times New Roman" w:cs="Times New Roman"/>
          <w:sz w:val="24"/>
          <w:szCs w:val="24"/>
        </w:rPr>
        <w:t xml:space="preserve"> </w:t>
      </w:r>
      <w:r w:rsidR="00CA0A21">
        <w:rPr>
          <w:rFonts w:ascii="Times New Roman" w:hAnsi="Times New Roman" w:cs="Times New Roman"/>
          <w:sz w:val="24"/>
          <w:szCs w:val="24"/>
        </w:rPr>
        <w:t>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w:t>
      </w:r>
      <w:r w:rsidR="00F175B2">
        <w:rPr>
          <w:rFonts w:ascii="Times New Roman" w:hAnsi="Times New Roman" w:cs="Times New Roman"/>
          <w:sz w:val="24"/>
          <w:szCs w:val="24"/>
        </w:rPr>
        <w:t xml:space="preserve"> Faktörler irdelendikten sonra bankalara, aynı göstergelerin değişim yönlerine ilişkin gelecek üç ayı kapsayan beklentileri sorulmaktadır. Bankalardan alınan yanıtlar anali</w:t>
      </w:r>
      <w:r w:rsidR="0033501E">
        <w:rPr>
          <w:rFonts w:ascii="Times New Roman" w:hAnsi="Times New Roman" w:cs="Times New Roman"/>
          <w:sz w:val="24"/>
          <w:szCs w:val="24"/>
        </w:rPr>
        <w:t xml:space="preserve">ze </w:t>
      </w:r>
      <w:proofErr w:type="spellStart"/>
      <w:r w:rsidR="0033501E">
        <w:rPr>
          <w:rFonts w:ascii="Times New Roman" w:hAnsi="Times New Roman" w:cs="Times New Roman"/>
          <w:sz w:val="24"/>
          <w:szCs w:val="24"/>
        </w:rPr>
        <w:t>ağırlıklandırma</w:t>
      </w:r>
      <w:proofErr w:type="spellEnd"/>
      <w:r w:rsidR="0033501E">
        <w:rPr>
          <w:rFonts w:ascii="Times New Roman" w:hAnsi="Times New Roman" w:cs="Times New Roman"/>
          <w:sz w:val="24"/>
          <w:szCs w:val="24"/>
        </w:rPr>
        <w:t xml:space="preserve"> yöntemi ile dâhil edilmektedir. Ağırlıklar, bankaların belirli kredi türlerindeki piyasa paylarına göre hesaplanmaktadır.</w:t>
      </w:r>
      <w:r w:rsidR="00F175B2">
        <w:rPr>
          <w:rFonts w:ascii="Times New Roman" w:hAnsi="Times New Roman" w:cs="Times New Roman"/>
          <w:sz w:val="24"/>
          <w:szCs w:val="24"/>
        </w:rPr>
        <w:t xml:space="preserve"> </w:t>
      </w:r>
    </w:p>
    <w:p w:rsidR="00F931C1" w:rsidRDefault="00F175B2" w:rsidP="00635369">
      <w:pPr>
        <w:jc w:val="both"/>
        <w:rPr>
          <w:rFonts w:ascii="Times New Roman" w:hAnsi="Times New Roman" w:cs="Times New Roman"/>
          <w:sz w:val="24"/>
          <w:szCs w:val="24"/>
        </w:rPr>
      </w:pPr>
      <w:r>
        <w:rPr>
          <w:rFonts w:ascii="Times New Roman" w:hAnsi="Times New Roman" w:cs="Times New Roman"/>
          <w:sz w:val="24"/>
          <w:szCs w:val="24"/>
        </w:rPr>
        <w:t>Yukarıda özetle</w:t>
      </w:r>
      <w:r w:rsidR="0033501E">
        <w:rPr>
          <w:rFonts w:ascii="Times New Roman" w:hAnsi="Times New Roman" w:cs="Times New Roman"/>
          <w:sz w:val="24"/>
          <w:szCs w:val="24"/>
        </w:rPr>
        <w:t>nen yöntem çerçevesinde gerçekleştirilen B</w:t>
      </w:r>
      <w:r w:rsidR="00F931C1" w:rsidRPr="002338B9">
        <w:rPr>
          <w:rFonts w:ascii="Times New Roman" w:hAnsi="Times New Roman" w:cs="Times New Roman"/>
          <w:sz w:val="24"/>
          <w:szCs w:val="24"/>
        </w:rPr>
        <w:t xml:space="preserve">anka Kredileri Eğilim Anketi’nin Ekim-Aralık 2014 dönemine ilişkin açıklanan sonuçlar, 2014 yılı dördüncü çeyreğindeki gerçekleşmeleri ve 2015 yılı ilk çeyreğine ilişkin beklentileri içermektedir. Buna göre Ekim-Aralık 2014 döneminde, bankaların işletmelere verilen kredilerde de bireysel kredilerde de standartları sıkılaştırdığı görülmektedir. Bu sıkılaşma eğiliminin önümüzdeki çeyrekte de devam edeceği beklenmektedir. Bunun yanı sıra işletmelerin banka kredilerine olan talebi daralmış, bireysel kredilere olan talep ise artmıştır. Bankaların fon sağlama </w:t>
      </w:r>
      <w:r w:rsidR="0033501E" w:rsidRPr="002338B9">
        <w:rPr>
          <w:rFonts w:ascii="Times New Roman" w:hAnsi="Times New Roman" w:cs="Times New Roman"/>
          <w:sz w:val="24"/>
          <w:szCs w:val="24"/>
        </w:rPr>
        <w:t>imkânları</w:t>
      </w:r>
      <w:r w:rsidR="00F931C1" w:rsidRPr="002338B9">
        <w:rPr>
          <w:rFonts w:ascii="Times New Roman" w:hAnsi="Times New Roman" w:cs="Times New Roman"/>
          <w:sz w:val="24"/>
          <w:szCs w:val="24"/>
        </w:rPr>
        <w:t xml:space="preserve"> incelendiğinde ise yurt içi ve yurt dışı fonlama koşullarındaki değişimin ters yönde hareket ettiği gözlenmiştir. Yurt dışı fonlama koşulları önceki çeyreğe göre destekleyici yönde değişirken, yurt içi fonlama koşullarının sıkılaştığı görülmüştür.</w:t>
      </w:r>
    </w:p>
    <w:p w:rsidR="0033501E" w:rsidRDefault="0033501E" w:rsidP="00635369">
      <w:pPr>
        <w:jc w:val="both"/>
        <w:rPr>
          <w:rFonts w:ascii="Times New Roman" w:hAnsi="Times New Roman" w:cs="Times New Roman"/>
          <w:sz w:val="24"/>
          <w:szCs w:val="24"/>
        </w:rPr>
      </w:pPr>
      <w:r>
        <w:rPr>
          <w:rFonts w:ascii="Times New Roman" w:hAnsi="Times New Roman" w:cs="Times New Roman"/>
          <w:sz w:val="24"/>
          <w:szCs w:val="24"/>
        </w:rPr>
        <w:t>Şekil 1</w:t>
      </w:r>
      <w:r w:rsidR="00132809">
        <w:rPr>
          <w:rFonts w:ascii="Times New Roman" w:hAnsi="Times New Roman" w:cs="Times New Roman"/>
          <w:sz w:val="24"/>
          <w:szCs w:val="24"/>
        </w:rPr>
        <w:t>,</w:t>
      </w:r>
      <w:r>
        <w:rPr>
          <w:rFonts w:ascii="Times New Roman" w:hAnsi="Times New Roman" w:cs="Times New Roman"/>
          <w:sz w:val="24"/>
          <w:szCs w:val="24"/>
        </w:rPr>
        <w:t xml:space="preserve"> bankaların genel olarak işletmelere verilen kredilere uyguladıkları standartları sıkılaştırdığını göstermektedir. Çizgi grafik</w:t>
      </w:r>
      <w:r w:rsidR="00132809">
        <w:rPr>
          <w:rFonts w:ascii="Times New Roman" w:hAnsi="Times New Roman" w:cs="Times New Roman"/>
          <w:sz w:val="24"/>
          <w:szCs w:val="24"/>
        </w:rPr>
        <w:t xml:space="preserve">te </w:t>
      </w:r>
      <w:r w:rsidR="00132809" w:rsidRPr="00132809">
        <w:rPr>
          <w:rFonts w:ascii="Times New Roman" w:hAnsi="Times New Roman" w:cs="Times New Roman"/>
          <w:i/>
          <w:sz w:val="24"/>
          <w:szCs w:val="24"/>
        </w:rPr>
        <w:t>gerçekleşme</w:t>
      </w:r>
      <w:r>
        <w:rPr>
          <w:rFonts w:ascii="Times New Roman" w:hAnsi="Times New Roman" w:cs="Times New Roman"/>
          <w:sz w:val="24"/>
          <w:szCs w:val="24"/>
        </w:rPr>
        <w:t xml:space="preserve"> </w:t>
      </w:r>
      <w:r w:rsidR="00132809">
        <w:rPr>
          <w:rFonts w:ascii="Times New Roman" w:hAnsi="Times New Roman" w:cs="Times New Roman"/>
          <w:sz w:val="24"/>
          <w:szCs w:val="24"/>
        </w:rPr>
        <w:t xml:space="preserve">söz konusu dönemde standartlarda meydana gelen değişimi ifade ederken </w:t>
      </w:r>
      <w:r w:rsidR="00132809" w:rsidRPr="00132809">
        <w:rPr>
          <w:rFonts w:ascii="Times New Roman" w:hAnsi="Times New Roman" w:cs="Times New Roman"/>
          <w:i/>
          <w:sz w:val="24"/>
          <w:szCs w:val="24"/>
        </w:rPr>
        <w:t>beklenti</w:t>
      </w:r>
      <w:r w:rsidR="00132809">
        <w:rPr>
          <w:rFonts w:ascii="Times New Roman" w:hAnsi="Times New Roman" w:cs="Times New Roman"/>
          <w:sz w:val="24"/>
          <w:szCs w:val="24"/>
        </w:rPr>
        <w:t xml:space="preserve"> ise aynı dönem için bankaların beklediği değişimi ifade etmektedir. </w:t>
      </w:r>
      <w:r>
        <w:rPr>
          <w:rFonts w:ascii="Times New Roman" w:hAnsi="Times New Roman" w:cs="Times New Roman"/>
          <w:sz w:val="24"/>
          <w:szCs w:val="24"/>
        </w:rPr>
        <w:t xml:space="preserve">2011 yılı dördüncü çeyreğinden bu yana </w:t>
      </w:r>
      <w:r w:rsidR="00132809">
        <w:rPr>
          <w:rFonts w:ascii="Times New Roman" w:hAnsi="Times New Roman" w:cs="Times New Roman"/>
          <w:sz w:val="24"/>
          <w:szCs w:val="24"/>
        </w:rPr>
        <w:t>işletmelere kullandırılan</w:t>
      </w:r>
      <w:r>
        <w:rPr>
          <w:rFonts w:ascii="Times New Roman" w:hAnsi="Times New Roman" w:cs="Times New Roman"/>
          <w:sz w:val="24"/>
          <w:szCs w:val="24"/>
        </w:rPr>
        <w:t xml:space="preserve"> kredi türünde </w:t>
      </w:r>
      <w:r w:rsidR="00132809">
        <w:rPr>
          <w:rFonts w:ascii="Times New Roman" w:hAnsi="Times New Roman" w:cs="Times New Roman"/>
          <w:sz w:val="24"/>
          <w:szCs w:val="24"/>
        </w:rPr>
        <w:t xml:space="preserve">beklentiler ile gerçekleşmelerin genellikle aynı yönlü olduğu ancak sıkılaştırma beklenen bazı dönemlerde gerçekleşmenin gevşetme yönünde olduğu da gözlenmiştir. 2014 yılı dördüncü çeyreğinde standartların sıkılaştırılmasının en önemli nedenleri bankalara göre ekonomiye ilişkin </w:t>
      </w:r>
      <w:r w:rsidR="00132809">
        <w:rPr>
          <w:rFonts w:ascii="Times New Roman" w:hAnsi="Times New Roman" w:cs="Times New Roman"/>
          <w:sz w:val="24"/>
          <w:szCs w:val="24"/>
        </w:rPr>
        <w:lastRenderedPageBreak/>
        <w:t>beklentilerin yarattığı risk algı</w:t>
      </w:r>
      <w:r w:rsidR="003A0A58">
        <w:rPr>
          <w:rFonts w:ascii="Times New Roman" w:hAnsi="Times New Roman" w:cs="Times New Roman"/>
          <w:sz w:val="24"/>
          <w:szCs w:val="24"/>
        </w:rPr>
        <w:t>lama</w:t>
      </w:r>
      <w:r w:rsidR="00132809">
        <w:rPr>
          <w:rFonts w:ascii="Times New Roman" w:hAnsi="Times New Roman" w:cs="Times New Roman"/>
          <w:sz w:val="24"/>
          <w:szCs w:val="24"/>
        </w:rPr>
        <w:t xml:space="preserve">sı, fon maliyetleri, bilanço kısıtlamaları ve diğer bankaların </w:t>
      </w:r>
      <w:r w:rsidR="003A0A58">
        <w:rPr>
          <w:rFonts w:ascii="Times New Roman" w:hAnsi="Times New Roman" w:cs="Times New Roman"/>
          <w:sz w:val="24"/>
          <w:szCs w:val="24"/>
        </w:rPr>
        <w:t>rekabetidir.</w:t>
      </w:r>
    </w:p>
    <w:p w:rsidR="002338B9" w:rsidRPr="002338B9" w:rsidRDefault="002338B9" w:rsidP="002338B9">
      <w:pPr>
        <w:pStyle w:val="ResimYazs"/>
        <w:keepNext/>
        <w:jc w:val="both"/>
        <w:rPr>
          <w:rFonts w:ascii="Times New Roman" w:hAnsi="Times New Roman" w:cs="Times New Roman"/>
          <w:b w:val="0"/>
          <w:color w:val="auto"/>
          <w:sz w:val="24"/>
          <w:szCs w:val="24"/>
        </w:rPr>
      </w:pPr>
      <w:r w:rsidRPr="002338B9">
        <w:rPr>
          <w:rFonts w:ascii="Times New Roman" w:hAnsi="Times New Roman" w:cs="Times New Roman"/>
          <w:b w:val="0"/>
          <w:color w:val="auto"/>
          <w:sz w:val="24"/>
          <w:szCs w:val="24"/>
        </w:rPr>
        <w:t xml:space="preserve">Şekil </w:t>
      </w:r>
      <w:r w:rsidR="00926BDB" w:rsidRPr="002338B9">
        <w:rPr>
          <w:rFonts w:ascii="Times New Roman" w:hAnsi="Times New Roman" w:cs="Times New Roman"/>
          <w:b w:val="0"/>
          <w:color w:val="auto"/>
          <w:sz w:val="24"/>
          <w:szCs w:val="24"/>
        </w:rPr>
        <w:fldChar w:fldCharType="begin"/>
      </w:r>
      <w:r w:rsidRPr="002338B9">
        <w:rPr>
          <w:rFonts w:ascii="Times New Roman" w:hAnsi="Times New Roman" w:cs="Times New Roman"/>
          <w:b w:val="0"/>
          <w:color w:val="auto"/>
          <w:sz w:val="24"/>
          <w:szCs w:val="24"/>
        </w:rPr>
        <w:instrText xml:space="preserve"> SEQ Şekil \* ARABIC </w:instrText>
      </w:r>
      <w:r w:rsidR="00926BDB" w:rsidRPr="002338B9">
        <w:rPr>
          <w:rFonts w:ascii="Times New Roman" w:hAnsi="Times New Roman" w:cs="Times New Roman"/>
          <w:b w:val="0"/>
          <w:color w:val="auto"/>
          <w:sz w:val="24"/>
          <w:szCs w:val="24"/>
        </w:rPr>
        <w:fldChar w:fldCharType="separate"/>
      </w:r>
      <w:r w:rsidR="00256599">
        <w:rPr>
          <w:rFonts w:ascii="Times New Roman" w:hAnsi="Times New Roman" w:cs="Times New Roman"/>
          <w:b w:val="0"/>
          <w:noProof/>
          <w:color w:val="auto"/>
          <w:sz w:val="24"/>
          <w:szCs w:val="24"/>
        </w:rPr>
        <w:t>1</w:t>
      </w:r>
      <w:r w:rsidR="00926BDB" w:rsidRPr="002338B9">
        <w:rPr>
          <w:rFonts w:ascii="Times New Roman" w:hAnsi="Times New Roman" w:cs="Times New Roman"/>
          <w:b w:val="0"/>
          <w:color w:val="auto"/>
          <w:sz w:val="24"/>
          <w:szCs w:val="24"/>
        </w:rPr>
        <w:fldChar w:fldCharType="end"/>
      </w:r>
      <w:r w:rsidRPr="002338B9">
        <w:rPr>
          <w:rFonts w:ascii="Times New Roman" w:hAnsi="Times New Roman" w:cs="Times New Roman"/>
          <w:b w:val="0"/>
          <w:color w:val="auto"/>
          <w:sz w:val="24"/>
          <w:szCs w:val="24"/>
        </w:rPr>
        <w:t>: Genel olarak işletmelere verilen kredilere uygulanan standartlarda değişim bildiren bankaların net yüzde oranları (&gt;0 = Gevşetme; &lt;0 = Sıkılaştırma)</w:t>
      </w:r>
    </w:p>
    <w:p w:rsidR="00F931C1" w:rsidRDefault="0033501E" w:rsidP="00635369">
      <w:pPr>
        <w:jc w:val="both"/>
      </w:pPr>
      <w:r w:rsidRPr="0033501E">
        <w:rPr>
          <w:noProof/>
          <w:lang w:val="en-GB" w:eastAsia="en-GB"/>
        </w:rPr>
        <w:drawing>
          <wp:inline distT="0" distB="0" distL="0" distR="0">
            <wp:extent cx="5972810" cy="488857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72810" cy="4888574"/>
                    </a:xfrm>
                    <a:prstGeom prst="rect">
                      <a:avLst/>
                    </a:prstGeom>
                    <a:noFill/>
                    <a:ln w="9525">
                      <a:noFill/>
                      <a:miter lim="800000"/>
                      <a:headEnd/>
                      <a:tailEnd/>
                    </a:ln>
                  </pic:spPr>
                </pic:pic>
              </a:graphicData>
            </a:graphic>
          </wp:inline>
        </w:drawing>
      </w:r>
    </w:p>
    <w:p w:rsidR="0080456D" w:rsidRPr="0080456D" w:rsidRDefault="0080456D" w:rsidP="00635369">
      <w:pPr>
        <w:jc w:val="both"/>
        <w:rPr>
          <w:rFonts w:ascii="Times New Roman" w:hAnsi="Times New Roman" w:cs="Times New Roman"/>
          <w:sz w:val="16"/>
        </w:rPr>
      </w:pPr>
      <w:r w:rsidRPr="0080456D">
        <w:rPr>
          <w:rFonts w:ascii="Times New Roman" w:hAnsi="Times New Roman" w:cs="Times New Roman"/>
          <w:sz w:val="16"/>
        </w:rPr>
        <w:t>Kaynak: TCMB</w:t>
      </w:r>
    </w:p>
    <w:p w:rsidR="003A0A58" w:rsidRDefault="003A0A58" w:rsidP="00635369">
      <w:pPr>
        <w:jc w:val="both"/>
        <w:rPr>
          <w:rFonts w:ascii="Times New Roman" w:hAnsi="Times New Roman" w:cs="Times New Roman"/>
        </w:rPr>
      </w:pPr>
      <w:r>
        <w:rPr>
          <w:rFonts w:ascii="Times New Roman" w:hAnsi="Times New Roman" w:cs="Times New Roman"/>
        </w:rPr>
        <w:t xml:space="preserve">İşletmelere verilen kredilere uygulanan kredi koşul ve kurallarına bakıldığında, bankaların faiz dışında alınan ücret ve komisyonlar ile daha riskli değerlendirdikleri krediler üzerindeki kar </w:t>
      </w:r>
      <w:proofErr w:type="gramStart"/>
      <w:r>
        <w:rPr>
          <w:rFonts w:ascii="Times New Roman" w:hAnsi="Times New Roman" w:cs="Times New Roman"/>
        </w:rPr>
        <w:t>marjını</w:t>
      </w:r>
      <w:proofErr w:type="gramEnd"/>
      <w:r>
        <w:rPr>
          <w:rFonts w:ascii="Times New Roman" w:hAnsi="Times New Roman" w:cs="Times New Roman"/>
        </w:rPr>
        <w:t xml:space="preserve"> artırdığı ve teminat ihtiyacı ile vade koşulunu sıkılaştırdığı tespit edilmiştir. Kredi sözleşmesi özel koşulları değiştirilmezken, ortalama krediler üzerindeki kar </w:t>
      </w:r>
      <w:proofErr w:type="gramStart"/>
      <w:r>
        <w:rPr>
          <w:rFonts w:ascii="Times New Roman" w:hAnsi="Times New Roman" w:cs="Times New Roman"/>
        </w:rPr>
        <w:t>marjı</w:t>
      </w:r>
      <w:proofErr w:type="gramEnd"/>
      <w:r>
        <w:rPr>
          <w:rFonts w:ascii="Times New Roman" w:hAnsi="Times New Roman" w:cs="Times New Roman"/>
        </w:rPr>
        <w:t xml:space="preserve"> küçük bir miktarda da olsa azaltılmıştır.</w:t>
      </w:r>
    </w:p>
    <w:p w:rsidR="003A0A58" w:rsidRDefault="003A0A58" w:rsidP="00635369">
      <w:pPr>
        <w:jc w:val="both"/>
        <w:rPr>
          <w:rFonts w:ascii="Times New Roman" w:hAnsi="Times New Roman" w:cs="Times New Roman"/>
        </w:rPr>
      </w:pPr>
      <w:r>
        <w:rPr>
          <w:rFonts w:ascii="Times New Roman" w:hAnsi="Times New Roman" w:cs="Times New Roman"/>
        </w:rPr>
        <w:t>2014 yılı dördüncü çeyreğinde genel olarak işletmelerin banka kredilerine olan talebinin bir önceki çeyreğe kıyasla daraldığı görülmektedir. Bunun en önemli nedeni</w:t>
      </w:r>
      <w:r w:rsidR="00CE3EDB">
        <w:rPr>
          <w:rFonts w:ascii="Times New Roman" w:hAnsi="Times New Roman" w:cs="Times New Roman"/>
        </w:rPr>
        <w:t xml:space="preserve">, iç finansman yoluna gidilerek ve/veya diğer bankalar ile banka dışı mali kesimden alınan kredilerin kullanılması gibi yöntemlerle alternatif finansman yollarının tercih edilmesi olmuştur. Ayrıca sabit yatırımlar ve birleşmeler/satın almalar ve </w:t>
      </w:r>
      <w:r w:rsidR="00CE3EDB">
        <w:rPr>
          <w:rFonts w:ascii="Times New Roman" w:hAnsi="Times New Roman" w:cs="Times New Roman"/>
        </w:rPr>
        <w:lastRenderedPageBreak/>
        <w:t>yeniden yapılanmalardan kaynaklanan bir şekilde finansman ihtiyacının azalmış olması da kredi talebinin azalmasında etkili olduğu gözlenmiştir.</w:t>
      </w:r>
    </w:p>
    <w:p w:rsidR="0080456D" w:rsidRDefault="0080456D" w:rsidP="00635369">
      <w:pPr>
        <w:jc w:val="both"/>
        <w:rPr>
          <w:rFonts w:ascii="Times New Roman" w:hAnsi="Times New Roman" w:cs="Times New Roman"/>
        </w:rPr>
      </w:pPr>
      <w:r>
        <w:rPr>
          <w:rFonts w:ascii="Times New Roman" w:hAnsi="Times New Roman" w:cs="Times New Roman"/>
        </w:rPr>
        <w:t>Bireysel kredilere uygulanan standartlar incelendiğinde, tüm bireysel kredi türlerinde standartların sıkılaştırıldığı gözlenmiştir. Sıkılaştırmanın en yüksek düzeyde uygulandığı kredi türü ise diğer bireysel krediler olmuştur. Konut ve taşıt kredilerinde ise standartlardaki değişimlerin yönü son çeyreklerde beklentilere uygun bir şekilde gerçekleşmiştir (Şekil 2).</w:t>
      </w:r>
    </w:p>
    <w:p w:rsidR="00340A81" w:rsidRDefault="0080456D" w:rsidP="00635369">
      <w:pPr>
        <w:jc w:val="both"/>
        <w:rPr>
          <w:rFonts w:ascii="Times New Roman" w:hAnsi="Times New Roman" w:cs="Times New Roman"/>
        </w:rPr>
      </w:pPr>
      <w:r>
        <w:rPr>
          <w:rFonts w:ascii="Times New Roman" w:hAnsi="Times New Roman" w:cs="Times New Roman"/>
        </w:rPr>
        <w:t xml:space="preserve">2014 yılı dördüncü çeyreğinde bankaların bireysel kredilere uygulanan koşul ve kurallarda da bazı değişiklikler yaptığı görülmektedir. Söz konusu dönemde konut kredilerinde faiz dışında alınan ücret ve komisyonları düşüren bankaların, vade veya teminatlarda herhangi bir değişiklik yapmadığı gözlenmiştir. </w:t>
      </w:r>
      <w:r w:rsidR="00340A81">
        <w:rPr>
          <w:rFonts w:ascii="Times New Roman" w:hAnsi="Times New Roman" w:cs="Times New Roman"/>
        </w:rPr>
        <w:t xml:space="preserve">Diğer bireysel kredilerde ise hem kar </w:t>
      </w:r>
      <w:proofErr w:type="gramStart"/>
      <w:r w:rsidR="00340A81">
        <w:rPr>
          <w:rFonts w:ascii="Times New Roman" w:hAnsi="Times New Roman" w:cs="Times New Roman"/>
        </w:rPr>
        <w:t>marjları</w:t>
      </w:r>
      <w:proofErr w:type="gramEnd"/>
      <w:r w:rsidR="00340A81">
        <w:rPr>
          <w:rFonts w:ascii="Times New Roman" w:hAnsi="Times New Roman" w:cs="Times New Roman"/>
        </w:rPr>
        <w:t xml:space="preserve"> hem de faiz dışında alınan ücret ve komisyonlar artırılmış hem de teminat ihtiyacı ve vade gibi faktörlerde sıkılaştırmaya gidilmiştir. Taşıt kredilerinde ise herhangi bir değişiklik yapılmamıştır.</w:t>
      </w:r>
    </w:p>
    <w:p w:rsidR="00A97E49" w:rsidRPr="0080456D" w:rsidRDefault="00A97E49" w:rsidP="00A97E49">
      <w:pPr>
        <w:pStyle w:val="ResimYazs"/>
        <w:keepNext/>
        <w:jc w:val="both"/>
        <w:rPr>
          <w:rFonts w:ascii="Times New Roman" w:hAnsi="Times New Roman" w:cs="Times New Roman"/>
          <w:b w:val="0"/>
          <w:bCs w:val="0"/>
          <w:color w:val="auto"/>
          <w:sz w:val="22"/>
          <w:szCs w:val="22"/>
        </w:rPr>
      </w:pPr>
      <w:r w:rsidRPr="0080456D">
        <w:rPr>
          <w:rFonts w:ascii="Times New Roman" w:hAnsi="Times New Roman" w:cs="Times New Roman"/>
          <w:b w:val="0"/>
          <w:bCs w:val="0"/>
          <w:color w:val="auto"/>
          <w:sz w:val="22"/>
          <w:szCs w:val="22"/>
        </w:rPr>
        <w:t xml:space="preserve">Şekil </w:t>
      </w:r>
      <w:r w:rsidRPr="0080456D">
        <w:rPr>
          <w:rFonts w:ascii="Times New Roman" w:hAnsi="Times New Roman" w:cs="Times New Roman"/>
          <w:b w:val="0"/>
          <w:bCs w:val="0"/>
          <w:color w:val="auto"/>
          <w:sz w:val="22"/>
          <w:szCs w:val="22"/>
        </w:rPr>
        <w:fldChar w:fldCharType="begin"/>
      </w:r>
      <w:r w:rsidRPr="0080456D">
        <w:rPr>
          <w:rFonts w:ascii="Times New Roman" w:hAnsi="Times New Roman" w:cs="Times New Roman"/>
          <w:b w:val="0"/>
          <w:bCs w:val="0"/>
          <w:color w:val="auto"/>
          <w:sz w:val="22"/>
          <w:szCs w:val="22"/>
        </w:rPr>
        <w:instrText xml:space="preserve"> SEQ Şekil \* ARABIC </w:instrText>
      </w:r>
      <w:r w:rsidRPr="0080456D">
        <w:rPr>
          <w:rFonts w:ascii="Times New Roman" w:hAnsi="Times New Roman" w:cs="Times New Roman"/>
          <w:b w:val="0"/>
          <w:bCs w:val="0"/>
          <w:color w:val="auto"/>
          <w:sz w:val="22"/>
          <w:szCs w:val="22"/>
        </w:rPr>
        <w:fldChar w:fldCharType="separate"/>
      </w:r>
      <w:r w:rsidR="00256599">
        <w:rPr>
          <w:rFonts w:ascii="Times New Roman" w:hAnsi="Times New Roman" w:cs="Times New Roman"/>
          <w:b w:val="0"/>
          <w:bCs w:val="0"/>
          <w:noProof/>
          <w:color w:val="auto"/>
          <w:sz w:val="22"/>
          <w:szCs w:val="22"/>
        </w:rPr>
        <w:t>2</w:t>
      </w:r>
      <w:r w:rsidRPr="0080456D">
        <w:rPr>
          <w:rFonts w:ascii="Times New Roman" w:hAnsi="Times New Roman" w:cs="Times New Roman"/>
          <w:b w:val="0"/>
          <w:bCs w:val="0"/>
          <w:color w:val="auto"/>
          <w:sz w:val="22"/>
          <w:szCs w:val="22"/>
        </w:rPr>
        <w:fldChar w:fldCharType="end"/>
      </w:r>
      <w:r w:rsidRPr="0080456D">
        <w:rPr>
          <w:rFonts w:ascii="Times New Roman" w:hAnsi="Times New Roman" w:cs="Times New Roman"/>
          <w:b w:val="0"/>
          <w:bCs w:val="0"/>
          <w:color w:val="auto"/>
          <w:sz w:val="22"/>
          <w:szCs w:val="22"/>
        </w:rPr>
        <w:t>: Bireysel kredi</w:t>
      </w:r>
      <w:r w:rsidR="0080456D" w:rsidRPr="0080456D">
        <w:rPr>
          <w:rFonts w:ascii="Times New Roman" w:hAnsi="Times New Roman" w:cs="Times New Roman"/>
          <w:b w:val="0"/>
          <w:bCs w:val="0"/>
          <w:color w:val="auto"/>
          <w:sz w:val="22"/>
          <w:szCs w:val="22"/>
        </w:rPr>
        <w:t xml:space="preserve"> talebinde değişim bildiren bankaların net yüzde oranları (&gt;0 = Arttı; &lt;0 = Azaldı)</w:t>
      </w:r>
    </w:p>
    <w:p w:rsidR="00CE3EDB" w:rsidRDefault="0080456D" w:rsidP="00635369">
      <w:pPr>
        <w:jc w:val="both"/>
        <w:rPr>
          <w:rFonts w:ascii="Times New Roman" w:hAnsi="Times New Roman" w:cs="Times New Roman"/>
        </w:rPr>
      </w:pPr>
      <w:r w:rsidRPr="0080456D">
        <w:rPr>
          <w:noProof/>
          <w:lang w:val="en-GB" w:eastAsia="en-GB"/>
        </w:rPr>
        <w:drawing>
          <wp:inline distT="0" distB="0" distL="0" distR="0">
            <wp:extent cx="5972810" cy="4255050"/>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72810" cy="4255050"/>
                    </a:xfrm>
                    <a:prstGeom prst="rect">
                      <a:avLst/>
                    </a:prstGeom>
                    <a:noFill/>
                    <a:ln w="9525">
                      <a:noFill/>
                      <a:miter lim="800000"/>
                      <a:headEnd/>
                      <a:tailEnd/>
                    </a:ln>
                  </pic:spPr>
                </pic:pic>
              </a:graphicData>
            </a:graphic>
          </wp:inline>
        </w:drawing>
      </w:r>
    </w:p>
    <w:p w:rsidR="0080456D" w:rsidRPr="0080456D" w:rsidRDefault="0080456D" w:rsidP="00635369">
      <w:pPr>
        <w:jc w:val="both"/>
        <w:rPr>
          <w:rFonts w:ascii="Times New Roman" w:hAnsi="Times New Roman" w:cs="Times New Roman"/>
          <w:sz w:val="16"/>
        </w:rPr>
      </w:pPr>
      <w:r w:rsidRPr="0080456D">
        <w:rPr>
          <w:rFonts w:ascii="Times New Roman" w:hAnsi="Times New Roman" w:cs="Times New Roman"/>
          <w:sz w:val="16"/>
        </w:rPr>
        <w:t>Kaynak: TCMB</w:t>
      </w:r>
    </w:p>
    <w:p w:rsidR="00340A81" w:rsidRDefault="00340A81" w:rsidP="00340A81">
      <w:pPr>
        <w:jc w:val="both"/>
        <w:rPr>
          <w:rFonts w:ascii="Times New Roman" w:hAnsi="Times New Roman" w:cs="Times New Roman"/>
        </w:rPr>
      </w:pPr>
      <w:r>
        <w:rPr>
          <w:rFonts w:ascii="Times New Roman" w:hAnsi="Times New Roman" w:cs="Times New Roman"/>
        </w:rPr>
        <w:t xml:space="preserve">2014 yılının son çeyreği itibarıyla tüm bireysel kredi türlerine olan talepte artış yaşandığı tespit edilmiştir. Konut kredilerinde, alternatif finansman yollarının kullanımı ile konut alımı dışındaki tüketim harcamalarında gerçekleşen artışa rağmen konut piyasasına ilişkin beklentiler ile tüketici güveninin </w:t>
      </w:r>
      <w:r>
        <w:rPr>
          <w:rFonts w:ascii="Times New Roman" w:hAnsi="Times New Roman" w:cs="Times New Roman"/>
        </w:rPr>
        <w:lastRenderedPageBreak/>
        <w:t>artmasından kaynaklanan bir şekilde talep artışı yaşanmıştır. Bu dönemde bireysel tasarruflardaki artış, taşıt kredilerine yönelik talep artışının itici gücü olurken, diğer bireysel kredilerde de tüketici güveni ve bireysel tasarrufların artması dolayısıyla talep artışı gözlenmiştir.</w:t>
      </w:r>
    </w:p>
    <w:p w:rsidR="00256599" w:rsidRPr="00256599" w:rsidRDefault="00340A81" w:rsidP="00340A81">
      <w:pPr>
        <w:jc w:val="both"/>
        <w:rPr>
          <w:rFonts w:ascii="Times New Roman" w:hAnsi="Times New Roman" w:cs="Times New Roman"/>
        </w:rPr>
      </w:pPr>
      <w:r>
        <w:rPr>
          <w:rFonts w:ascii="Times New Roman" w:hAnsi="Times New Roman" w:cs="Times New Roman"/>
        </w:rPr>
        <w:t>Son olarak bankaların fonlama koşullarını incelemek gerekirse, yurt içi fonlama koşulların</w:t>
      </w:r>
      <w:r w:rsidR="00AD24E4">
        <w:rPr>
          <w:rFonts w:ascii="Times New Roman" w:hAnsi="Times New Roman" w:cs="Times New Roman"/>
        </w:rPr>
        <w:t>ın 2014 yılının üçüncü çeyreğin</w:t>
      </w:r>
      <w:r>
        <w:rPr>
          <w:rFonts w:ascii="Times New Roman" w:hAnsi="Times New Roman" w:cs="Times New Roman"/>
        </w:rPr>
        <w:t xml:space="preserve">e </w:t>
      </w:r>
      <w:r w:rsidR="00AD24E4">
        <w:rPr>
          <w:rFonts w:ascii="Times New Roman" w:hAnsi="Times New Roman" w:cs="Times New Roman"/>
        </w:rPr>
        <w:t xml:space="preserve">göre </w:t>
      </w:r>
      <w:r w:rsidR="00256599">
        <w:rPr>
          <w:rFonts w:ascii="Times New Roman" w:hAnsi="Times New Roman" w:cs="Times New Roman"/>
        </w:rPr>
        <w:t xml:space="preserve">beklentilerden çok daha yüksek bir düzeyde </w:t>
      </w:r>
      <w:r w:rsidR="00AD24E4">
        <w:rPr>
          <w:rFonts w:ascii="Times New Roman" w:hAnsi="Times New Roman" w:cs="Times New Roman"/>
        </w:rPr>
        <w:t>sıkılaştığ</w:t>
      </w:r>
      <w:r w:rsidR="00256599">
        <w:rPr>
          <w:rFonts w:ascii="Times New Roman" w:hAnsi="Times New Roman" w:cs="Times New Roman"/>
        </w:rPr>
        <w:t xml:space="preserve">ı görülmektedir. Ancak 2015 yılı ilk çeyreği itibarıyla gevşeme yaşanacağı yönünde bir beklenti söz konusudur. Yurt dışı fonlama koşullarında ise 2014 yılı son çeyreğinde beklentilerin aksine gevşeme yaşanmıştır. Bununla birlikte önümüzdeki çeyrekte sıkılaşma olacağı beklentisi mevcudiyetini korumaktadır.      </w:t>
      </w:r>
    </w:p>
    <w:p w:rsidR="00256599" w:rsidRPr="00256599" w:rsidRDefault="00256599" w:rsidP="00256599">
      <w:pPr>
        <w:pStyle w:val="ResimYazs"/>
        <w:keepNext/>
        <w:jc w:val="both"/>
        <w:rPr>
          <w:rFonts w:ascii="Times New Roman" w:hAnsi="Times New Roman" w:cs="Times New Roman"/>
          <w:b w:val="0"/>
          <w:bCs w:val="0"/>
          <w:color w:val="auto"/>
          <w:sz w:val="22"/>
          <w:szCs w:val="22"/>
        </w:rPr>
      </w:pPr>
      <w:r w:rsidRPr="00256599">
        <w:rPr>
          <w:rFonts w:ascii="Times New Roman" w:hAnsi="Times New Roman" w:cs="Times New Roman"/>
          <w:b w:val="0"/>
          <w:bCs w:val="0"/>
          <w:color w:val="auto"/>
          <w:sz w:val="22"/>
          <w:szCs w:val="22"/>
        </w:rPr>
        <w:t xml:space="preserve">Şekil </w:t>
      </w:r>
      <w:r w:rsidRPr="00256599">
        <w:rPr>
          <w:rFonts w:ascii="Times New Roman" w:hAnsi="Times New Roman" w:cs="Times New Roman"/>
          <w:b w:val="0"/>
          <w:bCs w:val="0"/>
          <w:color w:val="auto"/>
          <w:sz w:val="22"/>
          <w:szCs w:val="22"/>
        </w:rPr>
        <w:fldChar w:fldCharType="begin"/>
      </w:r>
      <w:r w:rsidRPr="00256599">
        <w:rPr>
          <w:rFonts w:ascii="Times New Roman" w:hAnsi="Times New Roman" w:cs="Times New Roman"/>
          <w:b w:val="0"/>
          <w:bCs w:val="0"/>
          <w:color w:val="auto"/>
          <w:sz w:val="22"/>
          <w:szCs w:val="22"/>
        </w:rPr>
        <w:instrText xml:space="preserve"> SEQ Şekil \* ARABIC </w:instrText>
      </w:r>
      <w:r w:rsidRPr="00256599">
        <w:rPr>
          <w:rFonts w:ascii="Times New Roman" w:hAnsi="Times New Roman" w:cs="Times New Roman"/>
          <w:b w:val="0"/>
          <w:bCs w:val="0"/>
          <w:color w:val="auto"/>
          <w:sz w:val="22"/>
          <w:szCs w:val="22"/>
        </w:rPr>
        <w:fldChar w:fldCharType="separate"/>
      </w:r>
      <w:r w:rsidRPr="00256599">
        <w:rPr>
          <w:rFonts w:ascii="Times New Roman" w:hAnsi="Times New Roman" w:cs="Times New Roman"/>
          <w:b w:val="0"/>
          <w:bCs w:val="0"/>
          <w:color w:val="auto"/>
          <w:sz w:val="22"/>
          <w:szCs w:val="22"/>
        </w:rPr>
        <w:t>3</w:t>
      </w:r>
      <w:r w:rsidRPr="00256599">
        <w:rPr>
          <w:rFonts w:ascii="Times New Roman" w:hAnsi="Times New Roman" w:cs="Times New Roman"/>
          <w:b w:val="0"/>
          <w:bCs w:val="0"/>
          <w:color w:val="auto"/>
          <w:sz w:val="22"/>
          <w:szCs w:val="22"/>
        </w:rPr>
        <w:fldChar w:fldCharType="end"/>
      </w:r>
      <w:r w:rsidRPr="00256599">
        <w:rPr>
          <w:rFonts w:ascii="Times New Roman" w:hAnsi="Times New Roman" w:cs="Times New Roman"/>
          <w:b w:val="0"/>
          <w:bCs w:val="0"/>
          <w:color w:val="auto"/>
          <w:sz w:val="22"/>
          <w:szCs w:val="22"/>
        </w:rPr>
        <w:t>: Fonlama koşullarında değişim bildiren bankaların net yüzde oranları (&gt;0 = Gevşeme; &lt;0 = Sıkılaşma)</w:t>
      </w:r>
    </w:p>
    <w:p w:rsidR="00340A81" w:rsidRDefault="00256599" w:rsidP="00635369">
      <w:pPr>
        <w:jc w:val="both"/>
        <w:rPr>
          <w:rFonts w:ascii="Times New Roman" w:hAnsi="Times New Roman" w:cs="Times New Roman"/>
        </w:rPr>
      </w:pPr>
      <w:r w:rsidRPr="00256599">
        <w:rPr>
          <w:noProof/>
          <w:lang w:val="en-GB" w:eastAsia="en-GB"/>
        </w:rPr>
        <w:drawing>
          <wp:inline distT="0" distB="0" distL="0" distR="0">
            <wp:extent cx="5972810" cy="5416830"/>
            <wp:effectExtent l="0" t="0" r="0" b="0"/>
            <wp:docPr id="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72810" cy="5416830"/>
                    </a:xfrm>
                    <a:prstGeom prst="rect">
                      <a:avLst/>
                    </a:prstGeom>
                    <a:noFill/>
                    <a:ln w="9525">
                      <a:noFill/>
                      <a:miter lim="800000"/>
                      <a:headEnd/>
                      <a:tailEnd/>
                    </a:ln>
                  </pic:spPr>
                </pic:pic>
              </a:graphicData>
            </a:graphic>
          </wp:inline>
        </w:drawing>
      </w:r>
    </w:p>
    <w:p w:rsidR="00256599" w:rsidRPr="00256599" w:rsidRDefault="00256599" w:rsidP="00635369">
      <w:pPr>
        <w:jc w:val="both"/>
        <w:rPr>
          <w:rFonts w:ascii="Times New Roman" w:hAnsi="Times New Roman" w:cs="Times New Roman"/>
          <w:sz w:val="20"/>
        </w:rPr>
      </w:pPr>
      <w:r w:rsidRPr="00256599">
        <w:rPr>
          <w:rFonts w:ascii="Times New Roman" w:hAnsi="Times New Roman" w:cs="Times New Roman"/>
          <w:sz w:val="20"/>
        </w:rPr>
        <w:t>Kaynak: TCMB</w:t>
      </w:r>
    </w:p>
    <w:sectPr w:rsidR="00256599" w:rsidRPr="00256599"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92" w:rsidRDefault="00FF5092" w:rsidP="004A23EE">
      <w:pPr>
        <w:spacing w:after="0" w:line="240" w:lineRule="auto"/>
      </w:pPr>
      <w:r>
        <w:separator/>
      </w:r>
    </w:p>
  </w:endnote>
  <w:endnote w:type="continuationSeparator" w:id="0">
    <w:p w:rsidR="00FF5092" w:rsidRDefault="00FF5092"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FF5092">
        <w:pPr>
          <w:pStyle w:val="Altbilgi"/>
          <w:jc w:val="right"/>
        </w:pPr>
        <w:r>
          <w:fldChar w:fldCharType="begin"/>
        </w:r>
        <w:r>
          <w:instrText xml:space="preserve"> PAGE   \* MERGEFORMAT </w:instrText>
        </w:r>
        <w:r>
          <w:fldChar w:fldCharType="separate"/>
        </w:r>
        <w:r w:rsidR="00EC658D">
          <w:rPr>
            <w:noProof/>
          </w:rPr>
          <w:t>2</w:t>
        </w:r>
        <w:r>
          <w:rPr>
            <w:noProof/>
          </w:rPr>
          <w:fldChar w:fldCharType="end"/>
        </w:r>
      </w:p>
    </w:sdtContent>
  </w:sdt>
  <w:p w:rsidR="00340A81" w:rsidRDefault="00340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92" w:rsidRDefault="00FF5092" w:rsidP="004A23EE">
      <w:pPr>
        <w:spacing w:after="0" w:line="240" w:lineRule="auto"/>
      </w:pPr>
      <w:r>
        <w:separator/>
      </w:r>
    </w:p>
  </w:footnote>
  <w:footnote w:type="continuationSeparator" w:id="0">
    <w:p w:rsidR="00FF5092" w:rsidRDefault="00FF5092"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3355"/>
    <w:rsid w:val="000355DB"/>
    <w:rsid w:val="000701FD"/>
    <w:rsid w:val="00077DBA"/>
    <w:rsid w:val="000D18BE"/>
    <w:rsid w:val="000D1FAF"/>
    <w:rsid w:val="000D6E64"/>
    <w:rsid w:val="00132809"/>
    <w:rsid w:val="00146E16"/>
    <w:rsid w:val="0017350D"/>
    <w:rsid w:val="00190AA1"/>
    <w:rsid w:val="001C74C3"/>
    <w:rsid w:val="001E11A2"/>
    <w:rsid w:val="001E5A63"/>
    <w:rsid w:val="001F27E9"/>
    <w:rsid w:val="001F7633"/>
    <w:rsid w:val="00200562"/>
    <w:rsid w:val="002338B9"/>
    <w:rsid w:val="00233BD5"/>
    <w:rsid w:val="00243F52"/>
    <w:rsid w:val="00251C0B"/>
    <w:rsid w:val="00256599"/>
    <w:rsid w:val="002942B2"/>
    <w:rsid w:val="002963F9"/>
    <w:rsid w:val="002D3E19"/>
    <w:rsid w:val="0033501E"/>
    <w:rsid w:val="00340A81"/>
    <w:rsid w:val="00357954"/>
    <w:rsid w:val="003641B3"/>
    <w:rsid w:val="003A0A58"/>
    <w:rsid w:val="003A57CB"/>
    <w:rsid w:val="00412381"/>
    <w:rsid w:val="00432DF5"/>
    <w:rsid w:val="00465103"/>
    <w:rsid w:val="004A23EE"/>
    <w:rsid w:val="004E1F2F"/>
    <w:rsid w:val="00537A36"/>
    <w:rsid w:val="005405F5"/>
    <w:rsid w:val="00543E32"/>
    <w:rsid w:val="0055668B"/>
    <w:rsid w:val="00574C38"/>
    <w:rsid w:val="00591547"/>
    <w:rsid w:val="005B25D6"/>
    <w:rsid w:val="005C53F8"/>
    <w:rsid w:val="006020BD"/>
    <w:rsid w:val="00627A46"/>
    <w:rsid w:val="00635369"/>
    <w:rsid w:val="0067515A"/>
    <w:rsid w:val="00695016"/>
    <w:rsid w:val="006A687D"/>
    <w:rsid w:val="006D41B5"/>
    <w:rsid w:val="006F7865"/>
    <w:rsid w:val="0070186C"/>
    <w:rsid w:val="007110AD"/>
    <w:rsid w:val="00731B2B"/>
    <w:rsid w:val="007330A1"/>
    <w:rsid w:val="007441EB"/>
    <w:rsid w:val="00771314"/>
    <w:rsid w:val="007736BE"/>
    <w:rsid w:val="007A3A18"/>
    <w:rsid w:val="007D79D8"/>
    <w:rsid w:val="0080456D"/>
    <w:rsid w:val="00882AC1"/>
    <w:rsid w:val="008C2C15"/>
    <w:rsid w:val="008D1077"/>
    <w:rsid w:val="00911741"/>
    <w:rsid w:val="00917F91"/>
    <w:rsid w:val="00926BDB"/>
    <w:rsid w:val="009805F0"/>
    <w:rsid w:val="009F54F1"/>
    <w:rsid w:val="00A3231D"/>
    <w:rsid w:val="00A51EF0"/>
    <w:rsid w:val="00A77365"/>
    <w:rsid w:val="00A814BE"/>
    <w:rsid w:val="00A97E49"/>
    <w:rsid w:val="00AD2065"/>
    <w:rsid w:val="00AD24E4"/>
    <w:rsid w:val="00AE3004"/>
    <w:rsid w:val="00B17F99"/>
    <w:rsid w:val="00B33D14"/>
    <w:rsid w:val="00B42947"/>
    <w:rsid w:val="00B80B7E"/>
    <w:rsid w:val="00B8612E"/>
    <w:rsid w:val="00B95D44"/>
    <w:rsid w:val="00BC294E"/>
    <w:rsid w:val="00BC5F10"/>
    <w:rsid w:val="00BD41E2"/>
    <w:rsid w:val="00BE5D6A"/>
    <w:rsid w:val="00BF3E70"/>
    <w:rsid w:val="00C144CC"/>
    <w:rsid w:val="00C21D8B"/>
    <w:rsid w:val="00C61B29"/>
    <w:rsid w:val="00CA0A21"/>
    <w:rsid w:val="00CC7D5F"/>
    <w:rsid w:val="00CE3EDB"/>
    <w:rsid w:val="00D2299D"/>
    <w:rsid w:val="00D23355"/>
    <w:rsid w:val="00D76048"/>
    <w:rsid w:val="00D875DB"/>
    <w:rsid w:val="00DC5FDC"/>
    <w:rsid w:val="00DE7934"/>
    <w:rsid w:val="00EB586D"/>
    <w:rsid w:val="00EC658D"/>
    <w:rsid w:val="00ED28D3"/>
    <w:rsid w:val="00EF4E45"/>
    <w:rsid w:val="00F175B2"/>
    <w:rsid w:val="00F82FEE"/>
    <w:rsid w:val="00F931C1"/>
    <w:rsid w:val="00FC5BC2"/>
    <w:rsid w:val="00FF5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9D8D9-F7BC-4384-B860-4EC8DDF09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981</Words>
  <Characters>5594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Dila</cp:lastModifiedBy>
  <cp:revision>7</cp:revision>
  <dcterms:created xsi:type="dcterms:W3CDTF">2015-01-09T10:14:00Z</dcterms:created>
  <dcterms:modified xsi:type="dcterms:W3CDTF">2015-01-12T04:29:00Z</dcterms:modified>
</cp:coreProperties>
</file>